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33D" w:rsidRPr="00893DCB" w:rsidRDefault="003B533D" w:rsidP="003B533D">
      <w:pPr>
        <w:pStyle w:val="Default"/>
        <w:spacing w:line="276" w:lineRule="auto"/>
        <w:jc w:val="center"/>
        <w:rPr>
          <w:color w:val="auto"/>
          <w:sz w:val="40"/>
          <w:szCs w:val="40"/>
          <w:u w:val="single"/>
        </w:rPr>
      </w:pPr>
      <w:r>
        <w:rPr>
          <w:b/>
          <w:bCs/>
          <w:color w:val="auto"/>
          <w:sz w:val="40"/>
          <w:szCs w:val="40"/>
          <w:u w:val="single"/>
        </w:rPr>
        <w:t>Kereskedelem és marketing</w:t>
      </w:r>
      <w:r w:rsidRPr="00893DCB">
        <w:rPr>
          <w:b/>
          <w:bCs/>
          <w:color w:val="auto"/>
          <w:sz w:val="40"/>
          <w:szCs w:val="40"/>
          <w:u w:val="single"/>
        </w:rPr>
        <w:t xml:space="preserve"> Alapszak</w:t>
      </w:r>
    </w:p>
    <w:p w:rsidR="003B533D" w:rsidRDefault="003B533D" w:rsidP="003B533D">
      <w:pPr>
        <w:pStyle w:val="Default"/>
        <w:spacing w:line="276" w:lineRule="auto"/>
        <w:jc w:val="center"/>
        <w:rPr>
          <w:b/>
          <w:bCs/>
          <w:color w:val="auto"/>
          <w:sz w:val="40"/>
          <w:szCs w:val="40"/>
          <w:u w:val="single"/>
        </w:rPr>
      </w:pPr>
      <w:r w:rsidRPr="00893DCB">
        <w:rPr>
          <w:b/>
          <w:bCs/>
          <w:color w:val="auto"/>
          <w:sz w:val="40"/>
          <w:szCs w:val="40"/>
          <w:u w:val="single"/>
        </w:rPr>
        <w:t xml:space="preserve">Záróvizsga tételsor </w:t>
      </w:r>
    </w:p>
    <w:p w:rsidR="003B533D" w:rsidRPr="00D67BE5" w:rsidRDefault="003B533D" w:rsidP="003B533D">
      <w:pPr>
        <w:pStyle w:val="Default"/>
        <w:spacing w:line="276" w:lineRule="auto"/>
        <w:jc w:val="center"/>
        <w:rPr>
          <w:b/>
          <w:sz w:val="18"/>
          <w:szCs w:val="18"/>
          <w:u w:val="single"/>
        </w:rPr>
      </w:pPr>
    </w:p>
    <w:p w:rsidR="00526110" w:rsidRPr="00526110" w:rsidRDefault="003B533D" w:rsidP="003B533D">
      <w:pPr>
        <w:spacing w:after="0" w:line="240" w:lineRule="auto"/>
        <w:ind w:left="360"/>
        <w:jc w:val="center"/>
        <w:rPr>
          <w:rFonts w:ascii="Garamond" w:eastAsia="Times New Roman" w:hAnsi="Garamond" w:cs="Times New Roman"/>
          <w:b/>
          <w:sz w:val="28"/>
          <w:szCs w:val="28"/>
        </w:rPr>
      </w:pPr>
      <w:r w:rsidRPr="00200869">
        <w:rPr>
          <w:rFonts w:ascii="Garamond" w:eastAsia="Calibri" w:hAnsi="Garamond" w:cs="Times New Roman"/>
          <w:b/>
          <w:sz w:val="28"/>
          <w:lang w:eastAsia="en-US"/>
        </w:rPr>
        <w:t xml:space="preserve"> </w:t>
      </w:r>
      <w:r w:rsidRPr="00A61C57">
        <w:rPr>
          <w:rFonts w:ascii="Garamond" w:eastAsia="Calibri" w:hAnsi="Garamond" w:cs="Times New Roman"/>
          <w:b/>
          <w:sz w:val="32"/>
          <w:szCs w:val="32"/>
          <w:u w:val="single"/>
          <w:lang w:eastAsia="en-US"/>
        </w:rPr>
        <w:t>„</w:t>
      </w:r>
      <w:r>
        <w:rPr>
          <w:rFonts w:ascii="Garamond" w:eastAsia="Calibri" w:hAnsi="Garamond" w:cs="Times New Roman"/>
          <w:b/>
          <w:sz w:val="32"/>
          <w:szCs w:val="32"/>
          <w:u w:val="single"/>
          <w:lang w:eastAsia="en-US"/>
        </w:rPr>
        <w:t>A</w:t>
      </w:r>
      <w:r w:rsidRPr="00A61C57">
        <w:rPr>
          <w:rFonts w:ascii="Garamond" w:eastAsia="Calibri" w:hAnsi="Garamond" w:cs="Times New Roman"/>
          <w:b/>
          <w:sz w:val="32"/>
          <w:szCs w:val="32"/>
          <w:u w:val="single"/>
          <w:lang w:eastAsia="en-US"/>
        </w:rPr>
        <w:t xml:space="preserve">” tétel </w:t>
      </w:r>
    </w:p>
    <w:p w:rsidR="00526110" w:rsidRDefault="00526110" w:rsidP="003B533D">
      <w:pPr>
        <w:spacing w:after="0"/>
        <w:ind w:left="360"/>
        <w:jc w:val="center"/>
        <w:rPr>
          <w:rFonts w:ascii="Garamond" w:eastAsia="Times New Roman" w:hAnsi="Garamond" w:cs="Times New Roman"/>
          <w:b/>
        </w:rPr>
      </w:pPr>
    </w:p>
    <w:p w:rsidR="003B533D" w:rsidRDefault="003B533D" w:rsidP="003B533D">
      <w:pPr>
        <w:spacing w:after="0"/>
        <w:ind w:left="360"/>
        <w:jc w:val="center"/>
        <w:rPr>
          <w:rFonts w:ascii="Garamond" w:eastAsia="Times New Roman" w:hAnsi="Garamond" w:cs="Times New Roman"/>
          <w:b/>
        </w:rPr>
      </w:pPr>
    </w:p>
    <w:p w:rsidR="00D44982" w:rsidRPr="003B533D" w:rsidRDefault="00D44982" w:rsidP="003B533D">
      <w:pPr>
        <w:spacing w:after="0"/>
        <w:ind w:left="360"/>
        <w:jc w:val="center"/>
        <w:rPr>
          <w:rFonts w:ascii="Garamond" w:eastAsia="Times New Roman" w:hAnsi="Garamond" w:cs="Times New Roman"/>
          <w:b/>
        </w:rPr>
      </w:pPr>
    </w:p>
    <w:p w:rsidR="00D44982" w:rsidRPr="003728A8" w:rsidRDefault="00D44982" w:rsidP="00D44982">
      <w:pPr>
        <w:spacing w:after="0" w:line="240" w:lineRule="auto"/>
        <w:jc w:val="both"/>
      </w:pPr>
      <w:bookmarkStart w:id="0" w:name="_GoBack"/>
      <w:bookmarkEnd w:id="0"/>
    </w:p>
    <w:p w:rsidR="00D44982" w:rsidRDefault="00D44982" w:rsidP="00647713">
      <w:pPr>
        <w:pStyle w:val="Default"/>
        <w:numPr>
          <w:ilvl w:val="0"/>
          <w:numId w:val="3"/>
        </w:numPr>
        <w:spacing w:line="276" w:lineRule="auto"/>
        <w:jc w:val="both"/>
        <w:rPr>
          <w:rFonts w:ascii="Garamond" w:hAnsi="Garamond"/>
          <w:sz w:val="22"/>
          <w:szCs w:val="22"/>
        </w:rPr>
      </w:pPr>
      <w:r w:rsidRPr="00D44982">
        <w:rPr>
          <w:rFonts w:ascii="Garamond" w:hAnsi="Garamond"/>
          <w:sz w:val="22"/>
          <w:szCs w:val="22"/>
        </w:rPr>
        <w:t>A marketing szerepe a szervezetek tevékenységében. A piac értelmezése, tényezői és szereplői, a piac mérőszámai. A fogyasztói piacok jellemzői. A szervezeti piac sajátosságai. A célpiaci marketing lényege, tevékenységelemei (szegmentálás, célpiac kiválasztás, pozícionálás) és típusai (differenciálatlan, differenciált, koncentrált).</w:t>
      </w:r>
    </w:p>
    <w:p w:rsidR="00647713" w:rsidRPr="00D44982" w:rsidRDefault="00647713" w:rsidP="00647713">
      <w:pPr>
        <w:pStyle w:val="Default"/>
        <w:spacing w:line="276" w:lineRule="auto"/>
        <w:ind w:left="360"/>
        <w:jc w:val="both"/>
        <w:rPr>
          <w:rFonts w:ascii="Garamond" w:hAnsi="Garamond"/>
          <w:sz w:val="22"/>
          <w:szCs w:val="22"/>
        </w:rPr>
      </w:pPr>
    </w:p>
    <w:p w:rsidR="00D44982" w:rsidRPr="00D44982" w:rsidRDefault="00D44982" w:rsidP="00647713">
      <w:pPr>
        <w:pStyle w:val="Listaszerbekezds"/>
        <w:numPr>
          <w:ilvl w:val="0"/>
          <w:numId w:val="3"/>
        </w:numPr>
        <w:spacing w:after="0"/>
        <w:jc w:val="both"/>
        <w:rPr>
          <w:rFonts w:ascii="Garamond" w:hAnsi="Garamond" w:cs="Times New Roman"/>
          <w:color w:val="000000"/>
        </w:rPr>
      </w:pPr>
      <w:r w:rsidRPr="00D44982">
        <w:rPr>
          <w:rFonts w:ascii="Garamond" w:hAnsi="Garamond" w:cs="Times New Roman"/>
          <w:color w:val="000000"/>
        </w:rPr>
        <w:t>A vállalatok stratégiájának tervezése, a stratégiai menedzsment főbb kérdései. A stratégiai tervezés folyamata. A stratégia elemzésének és tervezésének módszertana. A stratégia megvalósítása, a stratégia típusai.</w:t>
      </w:r>
    </w:p>
    <w:p w:rsidR="00D44982" w:rsidRPr="00D44982" w:rsidRDefault="00D44982" w:rsidP="00647713">
      <w:pPr>
        <w:pStyle w:val="Listaszerbekezds"/>
        <w:spacing w:after="0"/>
        <w:jc w:val="both"/>
        <w:rPr>
          <w:rFonts w:ascii="Garamond" w:hAnsi="Garamond" w:cs="Times New Roman"/>
          <w:color w:val="000000"/>
        </w:rPr>
      </w:pPr>
    </w:p>
    <w:p w:rsidR="00D44982" w:rsidRDefault="00D44982" w:rsidP="00647713">
      <w:pPr>
        <w:pStyle w:val="Default"/>
        <w:numPr>
          <w:ilvl w:val="0"/>
          <w:numId w:val="3"/>
        </w:numPr>
        <w:spacing w:line="276" w:lineRule="auto"/>
        <w:jc w:val="both"/>
        <w:rPr>
          <w:rFonts w:ascii="Garamond" w:hAnsi="Garamond"/>
          <w:sz w:val="22"/>
          <w:szCs w:val="22"/>
        </w:rPr>
      </w:pPr>
      <w:r w:rsidRPr="00D44982">
        <w:rPr>
          <w:rFonts w:ascii="Garamond" w:hAnsi="Garamond"/>
          <w:sz w:val="22"/>
          <w:szCs w:val="22"/>
        </w:rPr>
        <w:t>A fogyasztói piac szereplői. A fogyasztói magatartás közgazdaságtani és marketing közelítése, azok kapcsolódása. A fogyasztói magatartás modellezése. A fogyasztói magatartást befolyásoló tényezők megismerése, a marketingkutatás szerepe és módszerei. A fogyasztóvédelem funkciói, intézményrendszere, jogi szabályozása</w:t>
      </w:r>
      <w:r w:rsidR="00647713">
        <w:rPr>
          <w:rFonts w:ascii="Garamond" w:hAnsi="Garamond"/>
          <w:sz w:val="22"/>
          <w:szCs w:val="22"/>
        </w:rPr>
        <w:t>.</w:t>
      </w:r>
    </w:p>
    <w:p w:rsidR="00647713" w:rsidRPr="00D44982" w:rsidRDefault="00647713" w:rsidP="00647713">
      <w:pPr>
        <w:pStyle w:val="Default"/>
        <w:spacing w:line="276" w:lineRule="auto"/>
        <w:ind w:left="360"/>
        <w:jc w:val="both"/>
        <w:rPr>
          <w:rFonts w:ascii="Garamond" w:hAnsi="Garamond"/>
          <w:sz w:val="22"/>
          <w:szCs w:val="22"/>
        </w:rPr>
      </w:pPr>
    </w:p>
    <w:p w:rsidR="00D44982" w:rsidRDefault="00D44982" w:rsidP="00647713">
      <w:pPr>
        <w:pStyle w:val="Default"/>
        <w:numPr>
          <w:ilvl w:val="0"/>
          <w:numId w:val="3"/>
        </w:numPr>
        <w:spacing w:line="276" w:lineRule="auto"/>
        <w:jc w:val="both"/>
        <w:rPr>
          <w:rFonts w:ascii="Garamond" w:hAnsi="Garamond"/>
          <w:sz w:val="22"/>
          <w:szCs w:val="22"/>
        </w:rPr>
      </w:pPr>
      <w:r w:rsidRPr="00D44982">
        <w:rPr>
          <w:rFonts w:ascii="Garamond" w:hAnsi="Garamond"/>
          <w:sz w:val="22"/>
          <w:szCs w:val="22"/>
        </w:rPr>
        <w:t>A szervezeti piac sajátosságai, a szervezetek beszerzési magatartása. A vállalkozás jellemzői, a vállalakozások rendszerezése. A gazdasági társaságok és az egyéni vállalkozás jellemzői. Vállalkozási formák a kereskedelemben. Horizontális és vertikális együttműködés szerepe a kereskedelemben.</w:t>
      </w:r>
    </w:p>
    <w:p w:rsidR="00647713" w:rsidRPr="00D44982" w:rsidRDefault="00647713" w:rsidP="00647713">
      <w:pPr>
        <w:pStyle w:val="Default"/>
        <w:spacing w:line="276" w:lineRule="auto"/>
        <w:ind w:left="360"/>
        <w:jc w:val="both"/>
        <w:rPr>
          <w:rFonts w:ascii="Garamond" w:hAnsi="Garamond"/>
          <w:sz w:val="22"/>
          <w:szCs w:val="22"/>
        </w:rPr>
      </w:pPr>
    </w:p>
    <w:p w:rsidR="00D44982" w:rsidRDefault="00D44982" w:rsidP="00647713">
      <w:pPr>
        <w:pStyle w:val="Default"/>
        <w:numPr>
          <w:ilvl w:val="0"/>
          <w:numId w:val="3"/>
        </w:numPr>
        <w:spacing w:line="276" w:lineRule="auto"/>
        <w:jc w:val="both"/>
        <w:rPr>
          <w:rFonts w:ascii="Garamond" w:hAnsi="Garamond"/>
          <w:sz w:val="22"/>
          <w:szCs w:val="22"/>
        </w:rPr>
      </w:pPr>
      <w:r w:rsidRPr="00D44982">
        <w:rPr>
          <w:rFonts w:ascii="Garamond" w:hAnsi="Garamond"/>
          <w:sz w:val="22"/>
          <w:szCs w:val="22"/>
        </w:rPr>
        <w:t>A marketingkutatás szerepe a vállalkozás tevékenységében. A kutatás tervezése, a kutatás folyamata. A marketingkutatás módszerei, a módszerek fejlődése. A kvantitatív és kvalitatív kutatás lényege, alkalmazásának feltételei. A kutatási eredmények feldolgozása és elemzése.</w:t>
      </w:r>
    </w:p>
    <w:p w:rsidR="00647713" w:rsidRPr="00D44982" w:rsidRDefault="00647713" w:rsidP="00647713">
      <w:pPr>
        <w:pStyle w:val="Default"/>
        <w:spacing w:line="276" w:lineRule="auto"/>
        <w:ind w:left="360"/>
        <w:jc w:val="both"/>
        <w:rPr>
          <w:rFonts w:ascii="Garamond" w:hAnsi="Garamond"/>
          <w:sz w:val="22"/>
          <w:szCs w:val="22"/>
        </w:rPr>
      </w:pPr>
    </w:p>
    <w:p w:rsidR="00D44982" w:rsidRPr="00D44982" w:rsidRDefault="00D44982" w:rsidP="00647713">
      <w:pPr>
        <w:pStyle w:val="Default"/>
        <w:numPr>
          <w:ilvl w:val="0"/>
          <w:numId w:val="3"/>
        </w:numPr>
        <w:spacing w:line="276" w:lineRule="auto"/>
        <w:jc w:val="both"/>
        <w:rPr>
          <w:rFonts w:ascii="Garamond" w:hAnsi="Garamond"/>
          <w:sz w:val="22"/>
          <w:szCs w:val="22"/>
        </w:rPr>
      </w:pPr>
      <w:r w:rsidRPr="00D44982">
        <w:rPr>
          <w:rFonts w:ascii="Garamond" w:hAnsi="Garamond"/>
          <w:sz w:val="22"/>
          <w:szCs w:val="22"/>
        </w:rPr>
        <w:t>A vállalatok termékpolitikai döntései.  A termékek előállítás-forgalmazás technológiai összefüggései. Termékportfólió elemzési módszerek. Az értékelemzés lényege és módszerei.  A márka fogalma, funkciói, típusai, a márkaérték. Márkázási döntések (márkanév, márkakiterjesztés). A fogyasztók tájékoztatása az árukról. A csomagolás funkciói, a csomagolás és a környezetgazdálkodás összefüggései a kereskedelemben. A csomagolás gazdaságossága, az optimális csomagolás jellemzői.</w:t>
      </w:r>
    </w:p>
    <w:p w:rsidR="00D44982" w:rsidRPr="00D44982" w:rsidRDefault="00D44982" w:rsidP="00647713">
      <w:pPr>
        <w:pStyle w:val="Default"/>
        <w:spacing w:line="276" w:lineRule="auto"/>
        <w:ind w:left="720"/>
        <w:jc w:val="both"/>
        <w:rPr>
          <w:rFonts w:ascii="Garamond" w:hAnsi="Garamond"/>
          <w:sz w:val="22"/>
          <w:szCs w:val="22"/>
        </w:rPr>
      </w:pPr>
    </w:p>
    <w:p w:rsidR="00D44982" w:rsidRPr="00D44982" w:rsidRDefault="00D44982" w:rsidP="00647713">
      <w:pPr>
        <w:pStyle w:val="Default"/>
        <w:numPr>
          <w:ilvl w:val="0"/>
          <w:numId w:val="3"/>
        </w:numPr>
        <w:spacing w:line="276" w:lineRule="auto"/>
        <w:jc w:val="both"/>
        <w:rPr>
          <w:rFonts w:ascii="Garamond" w:hAnsi="Garamond"/>
          <w:sz w:val="22"/>
          <w:szCs w:val="22"/>
        </w:rPr>
      </w:pPr>
      <w:r w:rsidRPr="00D44982">
        <w:rPr>
          <w:rFonts w:ascii="Garamond" w:hAnsi="Garamond"/>
          <w:sz w:val="22"/>
          <w:szCs w:val="22"/>
        </w:rPr>
        <w:t xml:space="preserve">A vállalati árképzést befolyásoló tényezők, az ár közgazdaságtani és </w:t>
      </w:r>
      <w:proofErr w:type="spellStart"/>
      <w:r w:rsidRPr="00D44982">
        <w:rPr>
          <w:rFonts w:ascii="Garamond" w:hAnsi="Garamond"/>
          <w:sz w:val="22"/>
          <w:szCs w:val="22"/>
        </w:rPr>
        <w:t>vállalatgazdaságtani</w:t>
      </w:r>
      <w:proofErr w:type="spellEnd"/>
      <w:r w:rsidRPr="00D44982">
        <w:rPr>
          <w:rFonts w:ascii="Garamond" w:hAnsi="Garamond"/>
          <w:sz w:val="22"/>
          <w:szCs w:val="22"/>
        </w:rPr>
        <w:t xml:space="preserve"> megközelítése. Árképzési célok és módszerek. Az árképzés pszichológiája, árdifferenciálás. Az árak alkalmazása a gyakorlatban, árengedmények és kedvezmények. Az árakkal, árképzéssel kapcsolatos jogi szabályozások.</w:t>
      </w:r>
    </w:p>
    <w:p w:rsidR="00D44982" w:rsidRPr="00D44982" w:rsidRDefault="00D44982" w:rsidP="00647713">
      <w:pPr>
        <w:pStyle w:val="Default"/>
        <w:numPr>
          <w:ilvl w:val="0"/>
          <w:numId w:val="3"/>
        </w:numPr>
        <w:spacing w:line="276" w:lineRule="auto"/>
        <w:jc w:val="both"/>
        <w:rPr>
          <w:rFonts w:ascii="Garamond" w:hAnsi="Garamond"/>
          <w:sz w:val="22"/>
          <w:szCs w:val="22"/>
        </w:rPr>
      </w:pPr>
      <w:r w:rsidRPr="00D44982">
        <w:rPr>
          <w:rFonts w:ascii="Garamond" w:hAnsi="Garamond"/>
          <w:sz w:val="22"/>
          <w:szCs w:val="22"/>
        </w:rPr>
        <w:lastRenderedPageBreak/>
        <w:t>A szervezetek értékesítési rendszere, az értékesítési csatorna funkciói, áramlásai, szereplői. A különböző értékesítési csatorna típusok bemutatása, azok jellemzői. Az értékesítési út tervezése, döntés az értékesítés vertikalitásáról, szelektivitásáról. A nagy- és kiskereskedelem funkció, feladatai, trendek az értékesítési csatorna változásában. A franchise összefüggései az értékesítési csatornával.</w:t>
      </w:r>
    </w:p>
    <w:p w:rsidR="00D44982" w:rsidRPr="00D44982" w:rsidRDefault="00D44982" w:rsidP="00647713">
      <w:pPr>
        <w:pStyle w:val="Default"/>
        <w:spacing w:line="276" w:lineRule="auto"/>
        <w:ind w:left="720"/>
        <w:jc w:val="both"/>
        <w:rPr>
          <w:rFonts w:ascii="Garamond" w:hAnsi="Garamond"/>
          <w:sz w:val="22"/>
          <w:szCs w:val="22"/>
        </w:rPr>
      </w:pPr>
    </w:p>
    <w:p w:rsidR="00D44982" w:rsidRPr="00D44982" w:rsidRDefault="00D44982" w:rsidP="00647713">
      <w:pPr>
        <w:pStyle w:val="Default"/>
        <w:numPr>
          <w:ilvl w:val="0"/>
          <w:numId w:val="3"/>
        </w:numPr>
        <w:spacing w:line="276" w:lineRule="auto"/>
        <w:jc w:val="both"/>
        <w:rPr>
          <w:rFonts w:ascii="Garamond" w:hAnsi="Garamond"/>
          <w:sz w:val="22"/>
          <w:szCs w:val="22"/>
        </w:rPr>
      </w:pPr>
      <w:r w:rsidRPr="00D44982">
        <w:rPr>
          <w:rFonts w:ascii="Garamond" w:hAnsi="Garamond"/>
          <w:sz w:val="22"/>
          <w:szCs w:val="22"/>
        </w:rPr>
        <w:t>A beszerzés funkciói. A beszerzés szerepe az áruforgalomban. A kereskedelmi vállalatok beszerzését befolyásoló tényezők és hatásuk a beszerzés gyakorlatára. A beszerzés folyamata és tevékenységelemei. A beszerzés elemzése és tervezése. A készletezés szerepe az áruforgalomban. A készlet nagyságát és összetételét befolyásoló tényezők. A készletek elemezésének és tervezésének módszerei. Az értékesítés folyamata. Az értékesítés elemzése és tervezése.</w:t>
      </w:r>
    </w:p>
    <w:p w:rsidR="00D44982" w:rsidRPr="00D44982" w:rsidRDefault="00D44982" w:rsidP="00647713">
      <w:pPr>
        <w:pStyle w:val="Listaszerbekezds"/>
        <w:spacing w:after="0"/>
        <w:jc w:val="both"/>
        <w:rPr>
          <w:rFonts w:ascii="Garamond" w:hAnsi="Garamond" w:cs="Times New Roman"/>
          <w:color w:val="000000"/>
        </w:rPr>
      </w:pPr>
    </w:p>
    <w:p w:rsidR="00D44982" w:rsidRPr="00D44982" w:rsidRDefault="00D44982" w:rsidP="00647713">
      <w:pPr>
        <w:pStyle w:val="Listaszerbekezds"/>
        <w:numPr>
          <w:ilvl w:val="0"/>
          <w:numId w:val="3"/>
        </w:numPr>
        <w:spacing w:after="0"/>
        <w:jc w:val="both"/>
        <w:rPr>
          <w:rFonts w:ascii="Garamond" w:hAnsi="Garamond" w:cs="Times New Roman"/>
          <w:color w:val="000000"/>
        </w:rPr>
      </w:pPr>
      <w:r w:rsidRPr="00D44982">
        <w:rPr>
          <w:rFonts w:ascii="Garamond" w:hAnsi="Garamond" w:cs="Times New Roman"/>
          <w:color w:val="000000"/>
        </w:rPr>
        <w:t>A logisztika főbb területei, a vevőkiszolgálás szerepe a kereskedelmi vállalkozások esetében. A rendszerszemlélet és az összköltségszemlélet. A logisztikai központok működési elvei, különböző fajtái és szolgáltatásaik sajátosságai. A logisztikai központok szerepe a kis- és nagykereskedelemben.</w:t>
      </w:r>
    </w:p>
    <w:p w:rsidR="00D44982" w:rsidRPr="00D44982" w:rsidRDefault="00D44982" w:rsidP="00647713">
      <w:pPr>
        <w:spacing w:after="0"/>
        <w:jc w:val="both"/>
        <w:rPr>
          <w:rFonts w:ascii="Garamond" w:hAnsi="Garamond"/>
        </w:rPr>
      </w:pPr>
    </w:p>
    <w:p w:rsidR="00647713" w:rsidRDefault="00D44982" w:rsidP="00647713">
      <w:pPr>
        <w:pStyle w:val="Default"/>
        <w:numPr>
          <w:ilvl w:val="0"/>
          <w:numId w:val="3"/>
        </w:numPr>
        <w:spacing w:line="276" w:lineRule="auto"/>
        <w:jc w:val="both"/>
        <w:rPr>
          <w:rFonts w:ascii="Garamond" w:hAnsi="Garamond"/>
          <w:sz w:val="22"/>
          <w:szCs w:val="22"/>
        </w:rPr>
      </w:pPr>
      <w:r w:rsidRPr="00D44982">
        <w:rPr>
          <w:rFonts w:ascii="Garamond" w:hAnsi="Garamond"/>
          <w:sz w:val="22"/>
          <w:szCs w:val="22"/>
        </w:rPr>
        <w:t>A marketingkommunikáció szerepe a vállalati marketingtevékenységben és a piaci szereplők befolyásolásában. A marketingkommunikáció eszközrendszere. Integrált marketingkommunikáció. Marketingkommunikációs eszközök klasszifikációja. Médiumok csoportosítása. Reklámeszközök csoportosítása. Reklámcsatorna jellemzésére használt szempontok.</w:t>
      </w:r>
    </w:p>
    <w:p w:rsidR="00D44982" w:rsidRPr="00D44982" w:rsidRDefault="00D44982" w:rsidP="00647713">
      <w:pPr>
        <w:pStyle w:val="Default"/>
        <w:spacing w:line="276" w:lineRule="auto"/>
        <w:ind w:left="360"/>
        <w:jc w:val="both"/>
        <w:rPr>
          <w:rFonts w:ascii="Garamond" w:hAnsi="Garamond"/>
          <w:sz w:val="22"/>
          <w:szCs w:val="22"/>
        </w:rPr>
      </w:pPr>
      <w:r w:rsidRPr="00D44982">
        <w:rPr>
          <w:rFonts w:ascii="Garamond" w:hAnsi="Garamond"/>
          <w:sz w:val="22"/>
          <w:szCs w:val="22"/>
        </w:rPr>
        <w:t xml:space="preserve"> </w:t>
      </w:r>
    </w:p>
    <w:p w:rsidR="00D44982" w:rsidRDefault="00D44982" w:rsidP="00647713">
      <w:pPr>
        <w:pStyle w:val="Default"/>
        <w:numPr>
          <w:ilvl w:val="0"/>
          <w:numId w:val="3"/>
        </w:numPr>
        <w:spacing w:line="276" w:lineRule="auto"/>
        <w:jc w:val="both"/>
        <w:rPr>
          <w:rFonts w:ascii="Garamond" w:hAnsi="Garamond"/>
          <w:sz w:val="22"/>
          <w:szCs w:val="22"/>
        </w:rPr>
      </w:pPr>
      <w:r w:rsidRPr="00D44982">
        <w:rPr>
          <w:rFonts w:ascii="Garamond" w:hAnsi="Garamond"/>
          <w:sz w:val="22"/>
          <w:szCs w:val="22"/>
        </w:rPr>
        <w:t xml:space="preserve">A médiapiac értelmezése szűkebb, tágabb értelemben. A médiapiac szereplői, és a köztük levő kapcsolatrendszer. Hirdetők, médiumok, médiaügynökségek, médiakutatók, önszabályozó testületek, törvényi szabályozás. Médiumok kiválasztásának főbb szempontjai reklámkampány során. Sajtó, televízió, rádió, mozi, közterület, online platformok jellemzői, alkalmazásuk előnyei, illetve hátrányai. Hatásosságok, költséghatékonyságot kifejező </w:t>
      </w:r>
      <w:proofErr w:type="spellStart"/>
      <w:r w:rsidRPr="00D44982">
        <w:rPr>
          <w:rFonts w:ascii="Garamond" w:hAnsi="Garamond"/>
          <w:sz w:val="22"/>
          <w:szCs w:val="22"/>
        </w:rPr>
        <w:t>médiamutatószámok</w:t>
      </w:r>
      <w:proofErr w:type="spellEnd"/>
      <w:r w:rsidRPr="00D44982">
        <w:rPr>
          <w:rFonts w:ascii="Garamond" w:hAnsi="Garamond"/>
          <w:sz w:val="22"/>
          <w:szCs w:val="22"/>
        </w:rPr>
        <w:t>, online mutatók.</w:t>
      </w:r>
    </w:p>
    <w:p w:rsidR="00647713" w:rsidRPr="00D44982" w:rsidRDefault="00647713" w:rsidP="00647713">
      <w:pPr>
        <w:pStyle w:val="Default"/>
        <w:spacing w:line="276" w:lineRule="auto"/>
        <w:ind w:left="360"/>
        <w:jc w:val="both"/>
        <w:rPr>
          <w:rFonts w:ascii="Garamond" w:hAnsi="Garamond"/>
          <w:sz w:val="22"/>
          <w:szCs w:val="22"/>
        </w:rPr>
      </w:pPr>
    </w:p>
    <w:p w:rsidR="00D44982" w:rsidRDefault="00D44982" w:rsidP="00647713">
      <w:pPr>
        <w:pStyle w:val="Default"/>
        <w:numPr>
          <w:ilvl w:val="0"/>
          <w:numId w:val="3"/>
        </w:numPr>
        <w:spacing w:line="276" w:lineRule="auto"/>
        <w:jc w:val="both"/>
        <w:rPr>
          <w:rFonts w:ascii="Garamond" w:hAnsi="Garamond"/>
          <w:sz w:val="22"/>
          <w:szCs w:val="22"/>
        </w:rPr>
      </w:pPr>
      <w:r w:rsidRPr="00D44982">
        <w:rPr>
          <w:rFonts w:ascii="Garamond" w:hAnsi="Garamond"/>
          <w:sz w:val="22"/>
          <w:szCs w:val="22"/>
        </w:rPr>
        <w:t xml:space="preserve">A kereskedelem makro- és </w:t>
      </w:r>
      <w:proofErr w:type="spellStart"/>
      <w:r w:rsidRPr="00D44982">
        <w:rPr>
          <w:rFonts w:ascii="Garamond" w:hAnsi="Garamond"/>
          <w:sz w:val="22"/>
          <w:szCs w:val="22"/>
        </w:rPr>
        <w:t>mikroökonómiai</w:t>
      </w:r>
      <w:proofErr w:type="spellEnd"/>
      <w:r w:rsidRPr="00D44982">
        <w:rPr>
          <w:rFonts w:ascii="Garamond" w:hAnsi="Garamond"/>
          <w:sz w:val="22"/>
          <w:szCs w:val="22"/>
        </w:rPr>
        <w:t xml:space="preserve"> funkciói. A hazai kereskedelem átalakulása: koncentráció és többpólusú piaci szerkezet, horizontális és vertikális koordináció. A kereskedelmi vállalkozások választék- és árpolitikai döntései. Kereskedelmi márka szerepe és jelentősége.</w:t>
      </w:r>
    </w:p>
    <w:p w:rsidR="00647713" w:rsidRPr="00D44982" w:rsidRDefault="00647713" w:rsidP="00647713">
      <w:pPr>
        <w:pStyle w:val="Default"/>
        <w:spacing w:line="276" w:lineRule="auto"/>
        <w:ind w:left="360"/>
        <w:jc w:val="both"/>
        <w:rPr>
          <w:rFonts w:ascii="Garamond" w:hAnsi="Garamond"/>
          <w:sz w:val="22"/>
          <w:szCs w:val="22"/>
        </w:rPr>
      </w:pPr>
    </w:p>
    <w:p w:rsidR="00D44982" w:rsidRPr="00D44982" w:rsidRDefault="00D44982" w:rsidP="00647713">
      <w:pPr>
        <w:pStyle w:val="Default"/>
        <w:numPr>
          <w:ilvl w:val="0"/>
          <w:numId w:val="3"/>
        </w:numPr>
        <w:spacing w:line="276" w:lineRule="auto"/>
        <w:jc w:val="both"/>
        <w:rPr>
          <w:rFonts w:ascii="Garamond" w:hAnsi="Garamond"/>
          <w:sz w:val="22"/>
          <w:szCs w:val="22"/>
        </w:rPr>
      </w:pPr>
      <w:r w:rsidRPr="00D44982">
        <w:rPr>
          <w:rFonts w:ascii="Garamond" w:hAnsi="Garamond"/>
          <w:sz w:val="22"/>
          <w:szCs w:val="22"/>
        </w:rPr>
        <w:t>A külpiaci kilépés formái és módszerei, proaktív és reaktív motivációi. Nemzetközi marketing eszközrendszerének kiemelt területei: termékadaptáció, termékdifferenciálás, globális és lokális árak jelentősége, exportáru értékesítési útjának vizsgálati sajátosságai, globális reklám mellett és ellen szóló érvek.</w:t>
      </w:r>
    </w:p>
    <w:p w:rsidR="00D44982" w:rsidRPr="00D44982" w:rsidRDefault="00D44982" w:rsidP="00647713">
      <w:pPr>
        <w:spacing w:after="0"/>
        <w:jc w:val="both"/>
        <w:rPr>
          <w:rFonts w:ascii="Garamond" w:hAnsi="Garamond" w:cs="Times New Roman"/>
          <w:color w:val="000000"/>
        </w:rPr>
      </w:pPr>
    </w:p>
    <w:p w:rsidR="00526110" w:rsidRPr="00D44982" w:rsidRDefault="00526110" w:rsidP="00647713">
      <w:pPr>
        <w:spacing w:after="0"/>
        <w:rPr>
          <w:rFonts w:ascii="Garamond" w:eastAsia="Times New Roman" w:hAnsi="Garamond" w:cs="Times New Roman"/>
        </w:rPr>
      </w:pPr>
    </w:p>
    <w:p w:rsidR="00007D6D" w:rsidRPr="00582949" w:rsidRDefault="00007D6D" w:rsidP="00647713">
      <w:pPr>
        <w:spacing w:after="0"/>
        <w:rPr>
          <w:rFonts w:ascii="DINPro-Regular" w:hAnsi="DINPro-Regular"/>
          <w:sz w:val="18"/>
          <w:szCs w:val="18"/>
        </w:rPr>
      </w:pPr>
    </w:p>
    <w:sectPr w:rsidR="00007D6D" w:rsidRPr="00582949" w:rsidSect="003B533D">
      <w:headerReference w:type="default" r:id="rId8"/>
      <w:pgSz w:w="11906" w:h="16838"/>
      <w:pgMar w:top="2946" w:right="1418" w:bottom="1418"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146" w:rsidRDefault="00156146" w:rsidP="00701FA8">
      <w:pPr>
        <w:spacing w:after="0" w:line="240" w:lineRule="auto"/>
      </w:pPr>
      <w:r>
        <w:separator/>
      </w:r>
    </w:p>
  </w:endnote>
  <w:endnote w:type="continuationSeparator" w:id="0">
    <w:p w:rsidR="00156146" w:rsidRDefault="00156146" w:rsidP="0070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DINPro-Regular">
    <w:altName w:val="Arial"/>
    <w:panose1 w:val="00000000000000000000"/>
    <w:charset w:val="00"/>
    <w:family w:val="modern"/>
    <w:notTrueType/>
    <w:pitch w:val="variable"/>
    <w:sig w:usb0="800002AF" w:usb1="4000206A"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146" w:rsidRDefault="00156146" w:rsidP="00701FA8">
      <w:pPr>
        <w:spacing w:after="0" w:line="240" w:lineRule="auto"/>
      </w:pPr>
      <w:r>
        <w:separator/>
      </w:r>
    </w:p>
  </w:footnote>
  <w:footnote w:type="continuationSeparator" w:id="0">
    <w:p w:rsidR="00156146" w:rsidRDefault="00156146" w:rsidP="00701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EA" w:rsidRPr="009C3AD9" w:rsidRDefault="00F1779C" w:rsidP="00F965C1">
    <w:pPr>
      <w:pStyle w:val="lfej"/>
      <w:tabs>
        <w:tab w:val="clear" w:pos="9072"/>
        <w:tab w:val="right" w:pos="9639"/>
      </w:tabs>
      <w:spacing w:line="276" w:lineRule="auto"/>
      <w:ind w:left="-1417" w:right="-567"/>
      <w:jc w:val="right"/>
      <w:rPr>
        <w:rFonts w:ascii="Verdana" w:hAnsi="Verdana"/>
        <w:color w:val="004735"/>
        <w:sz w:val="16"/>
        <w:szCs w:val="16"/>
      </w:rPr>
    </w:pPr>
    <w:r w:rsidRPr="009C3AD9">
      <w:rPr>
        <w:rFonts w:ascii="Verdana" w:hAnsi="Verdana"/>
        <w:noProof/>
        <w:color w:val="004735"/>
        <w:sz w:val="16"/>
        <w:szCs w:val="16"/>
      </w:rPr>
      <w:drawing>
        <wp:anchor distT="0" distB="0" distL="114300" distR="114300" simplePos="0" relativeHeight="251661312" behindDoc="1" locked="0" layoutInCell="1" allowOverlap="1" wp14:anchorId="7A41FEED" wp14:editId="50DDC295">
          <wp:simplePos x="0" y="0"/>
          <wp:positionH relativeFrom="column">
            <wp:posOffset>-899795</wp:posOffset>
          </wp:positionH>
          <wp:positionV relativeFrom="paragraph">
            <wp:posOffset>-136843</wp:posOffset>
          </wp:positionV>
          <wp:extent cx="7490460" cy="1424940"/>
          <wp:effectExtent l="0" t="0" r="0" b="0"/>
          <wp:wrapNone/>
          <wp:docPr id="5" name="Kép 0" descr="ud-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letterhead.png"/>
                  <pic:cNvPicPr/>
                </pic:nvPicPr>
                <pic:blipFill>
                  <a:blip r:embed="rId1"/>
                  <a:stretch>
                    <a:fillRect/>
                  </a:stretch>
                </pic:blipFill>
                <pic:spPr>
                  <a:xfrm>
                    <a:off x="0" y="0"/>
                    <a:ext cx="7490460" cy="1424940"/>
                  </a:xfrm>
                  <a:prstGeom prst="rect">
                    <a:avLst/>
                  </a:prstGeom>
                </pic:spPr>
              </pic:pic>
            </a:graphicData>
          </a:graphic>
        </wp:anchor>
      </w:drawing>
    </w:r>
  </w:p>
  <w:p w:rsidR="00FC56EA" w:rsidRDefault="00FC56EA" w:rsidP="00F965C1">
    <w:pPr>
      <w:pStyle w:val="lfej"/>
      <w:tabs>
        <w:tab w:val="clear" w:pos="9072"/>
        <w:tab w:val="right" w:pos="9639"/>
      </w:tabs>
      <w:spacing w:line="276" w:lineRule="auto"/>
      <w:ind w:left="-1417" w:right="-567"/>
      <w:jc w:val="right"/>
      <w:rPr>
        <w:rFonts w:ascii="Verdana" w:hAnsi="Verdana"/>
        <w:color w:val="004735"/>
        <w:sz w:val="16"/>
        <w:szCs w:val="16"/>
      </w:rPr>
    </w:pPr>
  </w:p>
  <w:p w:rsidR="003C44EA" w:rsidRPr="009C3AD9" w:rsidRDefault="003C44EA" w:rsidP="00F965C1">
    <w:pPr>
      <w:pStyle w:val="lfej"/>
      <w:tabs>
        <w:tab w:val="clear" w:pos="9072"/>
        <w:tab w:val="right" w:pos="9639"/>
      </w:tabs>
      <w:spacing w:line="276" w:lineRule="auto"/>
      <w:ind w:left="-1417" w:right="-567"/>
      <w:jc w:val="right"/>
      <w:rPr>
        <w:rFonts w:ascii="Verdana" w:hAnsi="Verdana"/>
        <w:color w:val="004735"/>
        <w:sz w:val="16"/>
        <w:szCs w:val="16"/>
      </w:rPr>
    </w:pPr>
  </w:p>
  <w:p w:rsidR="00F1779C" w:rsidRDefault="00902A6C" w:rsidP="00F965C1">
    <w:pPr>
      <w:pStyle w:val="lfej"/>
      <w:tabs>
        <w:tab w:val="clear" w:pos="9072"/>
        <w:tab w:val="right" w:pos="9639"/>
      </w:tabs>
      <w:spacing w:line="276" w:lineRule="auto"/>
      <w:ind w:left="-1417" w:right="-567"/>
      <w:jc w:val="right"/>
      <w:rPr>
        <w:rFonts w:ascii="Verdana" w:hAnsi="Verdana"/>
        <w:b/>
        <w:color w:val="004735"/>
        <w:sz w:val="16"/>
        <w:szCs w:val="16"/>
      </w:rPr>
    </w:pPr>
    <w:r w:rsidRPr="009C3AD9">
      <w:rPr>
        <w:rFonts w:ascii="Verdana" w:hAnsi="Verdana"/>
        <w:b/>
        <w:color w:val="004735"/>
        <w:sz w:val="16"/>
        <w:szCs w:val="16"/>
      </w:rPr>
      <w:t>DEBRECENI EGYETEM</w:t>
    </w:r>
    <w:r w:rsidR="00912F52">
      <w:rPr>
        <w:rFonts w:ascii="Verdana" w:hAnsi="Verdana"/>
        <w:b/>
        <w:color w:val="004735"/>
        <w:sz w:val="16"/>
        <w:szCs w:val="16"/>
      </w:rPr>
      <w:t xml:space="preserve"> SZOLNOK CAMPUS</w:t>
    </w:r>
  </w:p>
  <w:p w:rsidR="00701FA8" w:rsidRPr="009C3AD9" w:rsidRDefault="00902A6C" w:rsidP="00F965C1">
    <w:pPr>
      <w:pStyle w:val="lfej"/>
      <w:tabs>
        <w:tab w:val="clear" w:pos="9072"/>
        <w:tab w:val="right" w:pos="9639"/>
      </w:tabs>
      <w:spacing w:line="276" w:lineRule="auto"/>
      <w:ind w:left="-1417" w:right="-567"/>
      <w:jc w:val="right"/>
      <w:rPr>
        <w:rFonts w:ascii="Verdana" w:hAnsi="Verdana"/>
        <w:color w:val="004735"/>
        <w:sz w:val="16"/>
        <w:szCs w:val="16"/>
      </w:rPr>
    </w:pPr>
    <w:r w:rsidRPr="009C3AD9">
      <w:rPr>
        <w:rFonts w:ascii="Verdana" w:hAnsi="Verdana"/>
        <w:color w:val="004735"/>
        <w:spacing w:val="-10"/>
        <w:sz w:val="16"/>
        <w:szCs w:val="16"/>
      </w:rPr>
      <w:t>H-</w:t>
    </w:r>
    <w:r w:rsidR="00912F52">
      <w:rPr>
        <w:rFonts w:ascii="Verdana" w:hAnsi="Verdana"/>
        <w:color w:val="004735"/>
        <w:spacing w:val="-10"/>
        <w:sz w:val="16"/>
        <w:szCs w:val="16"/>
      </w:rPr>
      <w:t>5000</w:t>
    </w:r>
    <w:r w:rsidRPr="009C3AD9">
      <w:rPr>
        <w:rFonts w:ascii="Verdana" w:hAnsi="Verdana"/>
        <w:color w:val="004735"/>
        <w:spacing w:val="-10"/>
        <w:sz w:val="16"/>
        <w:szCs w:val="16"/>
      </w:rPr>
      <w:t xml:space="preserve"> </w:t>
    </w:r>
    <w:r w:rsidR="00912F52">
      <w:rPr>
        <w:rFonts w:ascii="Verdana" w:hAnsi="Verdana"/>
        <w:color w:val="004735"/>
        <w:spacing w:val="-10"/>
        <w:sz w:val="16"/>
        <w:szCs w:val="16"/>
      </w:rPr>
      <w:t>Szolnok</w:t>
    </w:r>
    <w:r w:rsidRPr="009C3AD9">
      <w:rPr>
        <w:rFonts w:ascii="Verdana" w:hAnsi="Verdana"/>
        <w:color w:val="004735"/>
        <w:spacing w:val="-10"/>
        <w:sz w:val="16"/>
        <w:szCs w:val="16"/>
      </w:rPr>
      <w:t xml:space="preserve">, </w:t>
    </w:r>
    <w:r w:rsidR="00912F52">
      <w:rPr>
        <w:rFonts w:ascii="Verdana" w:hAnsi="Verdana"/>
        <w:color w:val="004735"/>
        <w:spacing w:val="-10"/>
        <w:sz w:val="16"/>
        <w:szCs w:val="16"/>
      </w:rPr>
      <w:t>Tiszaligeti sétány 14.</w:t>
    </w:r>
    <w:r w:rsidR="00701FA8" w:rsidRPr="009C3AD9">
      <w:rPr>
        <w:rFonts w:ascii="Verdana" w:hAnsi="Verdana"/>
        <w:color w:val="004735"/>
        <w:sz w:val="16"/>
        <w:szCs w:val="16"/>
      </w:rPr>
      <w:br/>
    </w:r>
    <w:r w:rsidRPr="009C3AD9">
      <w:rPr>
        <w:rFonts w:ascii="Verdana" w:hAnsi="Verdana"/>
        <w:color w:val="004735"/>
        <w:sz w:val="16"/>
        <w:szCs w:val="16"/>
      </w:rPr>
      <w:t>Tel</w:t>
    </w:r>
    <w:proofErr w:type="gramStart"/>
    <w:r w:rsidR="009C3AD9">
      <w:rPr>
        <w:rFonts w:ascii="Verdana" w:hAnsi="Verdana"/>
        <w:color w:val="004735"/>
        <w:sz w:val="16"/>
        <w:szCs w:val="16"/>
      </w:rPr>
      <w:t>.:</w:t>
    </w:r>
    <w:proofErr w:type="gramEnd"/>
    <w:r w:rsidRPr="009C3AD9">
      <w:rPr>
        <w:rFonts w:ascii="Verdana" w:hAnsi="Verdana"/>
        <w:color w:val="004735"/>
        <w:sz w:val="16"/>
        <w:szCs w:val="16"/>
      </w:rPr>
      <w:t xml:space="preserve"> 5</w:t>
    </w:r>
    <w:r w:rsidR="00912F52">
      <w:rPr>
        <w:rFonts w:ascii="Verdana" w:hAnsi="Verdana"/>
        <w:color w:val="004735"/>
        <w:sz w:val="16"/>
        <w:szCs w:val="16"/>
      </w:rPr>
      <w:t>6</w:t>
    </w:r>
    <w:r w:rsidRPr="009C3AD9">
      <w:rPr>
        <w:rFonts w:ascii="Verdana" w:hAnsi="Verdana"/>
        <w:color w:val="004735"/>
        <w:sz w:val="16"/>
        <w:szCs w:val="16"/>
      </w:rPr>
      <w:t>/</w:t>
    </w:r>
    <w:r w:rsidR="00526110">
      <w:rPr>
        <w:rFonts w:ascii="Verdana" w:hAnsi="Verdana"/>
        <w:color w:val="004735"/>
        <w:sz w:val="16"/>
        <w:szCs w:val="16"/>
      </w:rPr>
      <w:t>511-758</w:t>
    </w:r>
  </w:p>
  <w:p w:rsidR="00EC41EB" w:rsidRPr="00EC41EB" w:rsidRDefault="00EC41EB" w:rsidP="00F1779C">
    <w:pPr>
      <w:pStyle w:val="lfej"/>
      <w:tabs>
        <w:tab w:val="clear" w:pos="9072"/>
        <w:tab w:val="right" w:pos="9639"/>
      </w:tabs>
      <w:spacing w:line="276" w:lineRule="auto"/>
      <w:ind w:right="-567"/>
      <w:rPr>
        <w:rFonts w:ascii="DINPro-Regular" w:hAnsi="DINPro-Regular"/>
        <w:color w:val="00473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F0CB6"/>
    <w:multiLevelType w:val="hybridMultilevel"/>
    <w:tmpl w:val="C9F8A928"/>
    <w:lvl w:ilvl="0" w:tplc="01E277AE">
      <w:start w:val="1"/>
      <w:numFmt w:val="decimal"/>
      <w:lvlText w:val="%1."/>
      <w:lvlJc w:val="left"/>
      <w:pPr>
        <w:tabs>
          <w:tab w:val="num" w:pos="786"/>
        </w:tabs>
        <w:ind w:left="786" w:hanging="360"/>
      </w:pPr>
      <w:rPr>
        <w:rFonts w:cs="Times New Roman" w:hint="default"/>
        <w:b/>
        <w:i w:val="0"/>
      </w:rPr>
    </w:lvl>
    <w:lvl w:ilvl="1" w:tplc="040E0017">
      <w:start w:val="1"/>
      <w:numFmt w:val="lowerLetter"/>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nsid w:val="34305CDC"/>
    <w:multiLevelType w:val="hybridMultilevel"/>
    <w:tmpl w:val="390853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A952FE7"/>
    <w:multiLevelType w:val="hybridMultilevel"/>
    <w:tmpl w:val="0A023B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A8"/>
    <w:rsid w:val="00007D6D"/>
    <w:rsid w:val="000B03FB"/>
    <w:rsid w:val="00156146"/>
    <w:rsid w:val="001839F3"/>
    <w:rsid w:val="00215B94"/>
    <w:rsid w:val="003B533D"/>
    <w:rsid w:val="003C44EA"/>
    <w:rsid w:val="00415317"/>
    <w:rsid w:val="0042365A"/>
    <w:rsid w:val="004600F7"/>
    <w:rsid w:val="0048384C"/>
    <w:rsid w:val="00526110"/>
    <w:rsid w:val="00556BFA"/>
    <w:rsid w:val="00582949"/>
    <w:rsid w:val="00647713"/>
    <w:rsid w:val="00654568"/>
    <w:rsid w:val="00701FA8"/>
    <w:rsid w:val="00741857"/>
    <w:rsid w:val="007B4FDC"/>
    <w:rsid w:val="008069A6"/>
    <w:rsid w:val="008F1052"/>
    <w:rsid w:val="00902A6C"/>
    <w:rsid w:val="00912F52"/>
    <w:rsid w:val="00994303"/>
    <w:rsid w:val="009C3AD9"/>
    <w:rsid w:val="00A53871"/>
    <w:rsid w:val="00A66598"/>
    <w:rsid w:val="00B14730"/>
    <w:rsid w:val="00BC75F4"/>
    <w:rsid w:val="00C674F5"/>
    <w:rsid w:val="00C9611E"/>
    <w:rsid w:val="00CC070E"/>
    <w:rsid w:val="00D44982"/>
    <w:rsid w:val="00D57782"/>
    <w:rsid w:val="00EB5ABC"/>
    <w:rsid w:val="00EC41EB"/>
    <w:rsid w:val="00F03F04"/>
    <w:rsid w:val="00F1779C"/>
    <w:rsid w:val="00F965C1"/>
    <w:rsid w:val="00FC56EA"/>
    <w:rsid w:val="00FF71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1FA8"/>
    <w:pPr>
      <w:tabs>
        <w:tab w:val="center" w:pos="4536"/>
        <w:tab w:val="right" w:pos="9072"/>
      </w:tabs>
      <w:spacing w:after="0" w:line="240" w:lineRule="auto"/>
    </w:pPr>
  </w:style>
  <w:style w:type="character" w:customStyle="1" w:styleId="lfejChar">
    <w:name w:val="Élőfej Char"/>
    <w:basedOn w:val="Bekezdsalapbettpusa"/>
    <w:link w:val="lfej"/>
    <w:uiPriority w:val="99"/>
    <w:rsid w:val="00701FA8"/>
  </w:style>
  <w:style w:type="paragraph" w:styleId="llb">
    <w:name w:val="footer"/>
    <w:basedOn w:val="Norml"/>
    <w:link w:val="llbChar"/>
    <w:uiPriority w:val="99"/>
    <w:unhideWhenUsed/>
    <w:rsid w:val="00701FA8"/>
    <w:pPr>
      <w:tabs>
        <w:tab w:val="center" w:pos="4536"/>
        <w:tab w:val="right" w:pos="9072"/>
      </w:tabs>
      <w:spacing w:after="0" w:line="240" w:lineRule="auto"/>
    </w:pPr>
  </w:style>
  <w:style w:type="character" w:customStyle="1" w:styleId="llbChar">
    <w:name w:val="Élőláb Char"/>
    <w:basedOn w:val="Bekezdsalapbettpusa"/>
    <w:link w:val="llb"/>
    <w:uiPriority w:val="99"/>
    <w:rsid w:val="00701FA8"/>
  </w:style>
  <w:style w:type="paragraph" w:styleId="Buborkszveg">
    <w:name w:val="Balloon Text"/>
    <w:basedOn w:val="Norml"/>
    <w:link w:val="BuborkszvegChar"/>
    <w:uiPriority w:val="99"/>
    <w:semiHidden/>
    <w:unhideWhenUsed/>
    <w:rsid w:val="00701F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01FA8"/>
    <w:rPr>
      <w:rFonts w:ascii="Tahoma" w:hAnsi="Tahoma" w:cs="Tahoma"/>
      <w:sz w:val="16"/>
      <w:szCs w:val="16"/>
    </w:rPr>
  </w:style>
  <w:style w:type="table" w:styleId="Rcsostblzat">
    <w:name w:val="Table Grid"/>
    <w:basedOn w:val="Normltblzat"/>
    <w:uiPriority w:val="59"/>
    <w:rsid w:val="00007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007D6D"/>
    <w:pPr>
      <w:ind w:left="720"/>
      <w:contextualSpacing/>
    </w:pPr>
  </w:style>
  <w:style w:type="paragraph" w:customStyle="1" w:styleId="Default">
    <w:name w:val="Default"/>
    <w:rsid w:val="003B533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1FA8"/>
    <w:pPr>
      <w:tabs>
        <w:tab w:val="center" w:pos="4536"/>
        <w:tab w:val="right" w:pos="9072"/>
      </w:tabs>
      <w:spacing w:after="0" w:line="240" w:lineRule="auto"/>
    </w:pPr>
  </w:style>
  <w:style w:type="character" w:customStyle="1" w:styleId="lfejChar">
    <w:name w:val="Élőfej Char"/>
    <w:basedOn w:val="Bekezdsalapbettpusa"/>
    <w:link w:val="lfej"/>
    <w:uiPriority w:val="99"/>
    <w:rsid w:val="00701FA8"/>
  </w:style>
  <w:style w:type="paragraph" w:styleId="llb">
    <w:name w:val="footer"/>
    <w:basedOn w:val="Norml"/>
    <w:link w:val="llbChar"/>
    <w:uiPriority w:val="99"/>
    <w:unhideWhenUsed/>
    <w:rsid w:val="00701FA8"/>
    <w:pPr>
      <w:tabs>
        <w:tab w:val="center" w:pos="4536"/>
        <w:tab w:val="right" w:pos="9072"/>
      </w:tabs>
      <w:spacing w:after="0" w:line="240" w:lineRule="auto"/>
    </w:pPr>
  </w:style>
  <w:style w:type="character" w:customStyle="1" w:styleId="llbChar">
    <w:name w:val="Élőláb Char"/>
    <w:basedOn w:val="Bekezdsalapbettpusa"/>
    <w:link w:val="llb"/>
    <w:uiPriority w:val="99"/>
    <w:rsid w:val="00701FA8"/>
  </w:style>
  <w:style w:type="paragraph" w:styleId="Buborkszveg">
    <w:name w:val="Balloon Text"/>
    <w:basedOn w:val="Norml"/>
    <w:link w:val="BuborkszvegChar"/>
    <w:uiPriority w:val="99"/>
    <w:semiHidden/>
    <w:unhideWhenUsed/>
    <w:rsid w:val="00701F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01FA8"/>
    <w:rPr>
      <w:rFonts w:ascii="Tahoma" w:hAnsi="Tahoma" w:cs="Tahoma"/>
      <w:sz w:val="16"/>
      <w:szCs w:val="16"/>
    </w:rPr>
  </w:style>
  <w:style w:type="table" w:styleId="Rcsostblzat">
    <w:name w:val="Table Grid"/>
    <w:basedOn w:val="Normltblzat"/>
    <w:uiPriority w:val="59"/>
    <w:rsid w:val="00007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007D6D"/>
    <w:pPr>
      <w:ind w:left="720"/>
      <w:contextualSpacing/>
    </w:pPr>
  </w:style>
  <w:style w:type="paragraph" w:customStyle="1" w:styleId="Default">
    <w:name w:val="Default"/>
    <w:rsid w:val="003B533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612</Words>
  <Characters>4223</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Debrecen</vt:lpstr>
    </vt:vector>
  </TitlesOfParts>
  <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Debrecen</dc:title>
  <dc:creator>Balázs</dc:creator>
  <cp:lastModifiedBy>Lovasné Keczán Katalin</cp:lastModifiedBy>
  <cp:revision>4</cp:revision>
  <cp:lastPrinted>2017-09-11T14:44:00Z</cp:lastPrinted>
  <dcterms:created xsi:type="dcterms:W3CDTF">2020-03-05T12:53:00Z</dcterms:created>
  <dcterms:modified xsi:type="dcterms:W3CDTF">2020-03-05T13:29:00Z</dcterms:modified>
</cp:coreProperties>
</file>